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Arial" w:ascii="Arial" w:hAnsi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cs="Arial" w:ascii="Arial" w:hAnsi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jc w:val="left"/>
        <w:tblInd w:w="-252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60"/>
        <w:gridCol w:w="1586"/>
        <w:gridCol w:w="3822"/>
        <w:gridCol w:w="903"/>
        <w:gridCol w:w="2699"/>
      </w:tblGrid>
      <w:tr>
        <w:trPr>
          <w:cantSplit w:val="false"/>
        </w:trPr>
        <w:tc>
          <w:tcPr>
            <w:tcW w:w="180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Project Title:</w:t>
            </w:r>
          </w:p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Reference No.: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Proposer(s):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s-ES"/>
              </w:rPr>
              <w:t>PI and collaborator/RA names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right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Date: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sz w:val="20"/>
                <w:szCs w:val="20"/>
              </w:rPr>
              <w:t>of completion of risk assessment form</w:t>
            </w:r>
          </w:p>
        </w:tc>
      </w:tr>
    </w:tbl>
    <w:p>
      <w:pPr>
        <w:pStyle w:val="Normal"/>
        <w:rPr>
          <w:rFonts w:cs="Arial" w:ascii="Arial" w:hAnsi="Arial"/>
          <w:b/>
        </w:rPr>
      </w:pPr>
      <w:r>
        <w:rPr>
          <w:rFonts w:cs="Arial" w:ascii="Arial" w:hAnsi="Arial"/>
          <w:b/>
        </w:rPr>
        <w:tab/>
        <w:tab/>
        <w:tab/>
        <w:tab/>
        <w:tab/>
        <w:tab/>
        <w:tab/>
        <w:tab/>
        <w:tab/>
        <w:tab/>
        <w:tab/>
        <w:tab/>
      </w:r>
    </w:p>
    <w:tbl>
      <w:tblPr>
        <w:jc w:val="left"/>
        <w:tblInd w:w="-257" w:type="dxa"/>
        <w:tblBorders>
          <w:top w:val="nil"/>
          <w:left w:val="nil"/>
          <w:bottom w:val="single" w:sz="4" w:space="0" w:color="000000"/>
          <w:insideH w:val="single" w:sz="4" w:space="0" w:color="000000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600"/>
        <w:gridCol w:w="1260"/>
        <w:gridCol w:w="180"/>
        <w:gridCol w:w="1080"/>
        <w:gridCol w:w="2520"/>
        <w:gridCol w:w="2880"/>
        <w:gridCol w:w="1450"/>
      </w:tblGrid>
      <w:tr>
        <w:trPr>
          <w:cantSplit w:val="false"/>
        </w:trPr>
        <w:tc>
          <w:tcPr>
            <w:tcW w:w="1800" w:type="dxa"/>
            <w:tcBorders>
              <w:top w:val="nil"/>
              <w:left w:val="nil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-108" w:hanging="0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Potential Risk Factors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Probability of Risk Arising (H/M/L)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Impact </w:t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(H/M/L)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Risk Indicators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Control Mechanisms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Named Risk Lead</w:t>
            </w:r>
          </w:p>
        </w:tc>
      </w:tr>
      <w:tr>
        <w:trPr>
          <w:trHeight w:val="226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Financial</w:t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Funder/commissioner problems: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Funders’ insolvency?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Failure to deliver promised funds?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Last minute budget changes – under-funding?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Matched funding not available?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 infrastructural support?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Funding delays in monies being delivered?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Funders’ linking funding to deliverables.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Estimate: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High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Medium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Low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Information from any source accounting for risk.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Outline proposal already submitted and approved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Cautionary notes minuted and recorded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Regular meetings with funders/advisors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Regular progress meetings with project team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Audited oversight of institutional financial management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 with responsibility</w:t>
            </w:r>
          </w:p>
        </w:tc>
      </w:tr>
      <w:tr>
        <w:trPr>
          <w:trHeight w:val="2763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Project budget overspend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Regular (monthly) finance reports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Regular reporting mechanisms to funder and institutional finance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Project management systems to control project stages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Designated budget holders (for all partner organisations)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Monthly finance reports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Sanctions for overspends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Expenditure monitoring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Finance procedures for each partner organisation followed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Clear contingencies allowances indicated in budget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267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Specific project-related sources of income generation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Market research of potential income sources and likely returns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Monitoring of income sources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Evaluations of income generation proposals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Provide information to help assess potential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Network with appropriate individuals/organisations</w:t>
            </w:r>
          </w:p>
          <w:p>
            <w:pPr>
              <w:pStyle w:val="Normal"/>
              <w:rPr>
                <w:rFonts w:eastAsia="Arial" w:cs="Arial"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Develop effective marketing strategy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Pilot any proposed income generation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301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Any partner organisations or individuals unable to meet deliverables due to financial difficulties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Annual finance audits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Yearly business plans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Formal reporting mechanisms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Check partner organisations individual finance procedures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Monitor partners’ management meetings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261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Legal/</w:t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Contractual</w:t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Lack of appropriate working space for research project staff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Damage/costs to larger institution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Formal health and safety risk assessment undertaken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Disputes with staff unions, or need to address concerns of public representative bodies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Health and safety risk assessment action plan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Office space commissioned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ICT requirements implemented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Public relations and normal negotiating procedures in place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368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Poor communication between research collaborators and/or partner organisations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Clear project meeting minutes – circulated reviewed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Independent advisors on project board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Stage reviews and  authorisation to continue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Non disclosure agreement signed by partner organisations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Project management system followed to check off project deliverables and ensure each stage signed off by key partners/stakeholders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Standard reporting mechanisms in place ensuring external review of project processes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Regular internal project team meetings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Written agreement between partner organisations setting out terms and conditions for joint working accountabilities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Research governance framework followed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221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Reputation, delays and grievances</w:t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Methodological limitations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Any potential for adverse publicity for the project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Stakeholder meeting minutes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Related local &amp; national media stories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Proactive engagement with stakeholders &amp; media throughout project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Establish and maintain strong links with partner organisations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Develop effective marketing plan for any project products or outputs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Develop a project communication and dissemination strategy for project duration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2528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Lack of commitment from any related professional/service user/ client organisations or groups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Summary project meeting minutes made available (edited?)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Feedback from professional/service user/client organisations or groups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Involve key stakeholders from the start of the project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Set up a stakeholder group with input, evaluation (and control?) over aspects of the project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Develop a project communication and dissemination strategy for project duration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5375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Loss of subject/respondent information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Inappropriate disclosure of respondent information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Respondents/subjects dissatisfied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Research Ethics committee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Database monitoring arrangements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Feedback from respondents and/or research team member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Complaints made by respondents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Comply with Data Protection Act 1998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Ensure all data is non identifiable to subject/respondent – code questionnaire immediately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All subject data stored electronically is password protected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All other subject data stored in a lockable file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Follow research governance guidance on the protection of subject information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Implement any recommendations from the appropriate research ethics committee(s)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Research data regularly backed-up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Two copies of research database stored securely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Clear grievance route – indicated to subjects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2545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Project rejected/subjected to amendment by research ethics committee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Feedback sought from research ethics committee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Feedback from stakeholders and advisors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Input from ethics advisor sought prior to submitting project proposal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Advice and input from institutional research director and research sponsor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Implement recommendations from ethics committee and resubmit if required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Stakeholder group approves project proposal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3935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Poor uptake of project outputs or deliverables (if appropriate)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Feedback from stakeholder steering group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Feedback from user panel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Monitoring of outputs and uptake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Feedback from any pilot phases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Develop project communication and dissemination strategy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Full involvement of stakeholder group and user groups throughout project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Marketing strategy developed for each project output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Evaluate pilot phases of project products and implement changes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871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Low response rate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Monitoring of research instruments via professional organisations, stakeholder and user groups representative of subject population 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Monitoring of data collection procedures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Full involvement of user and stakeholder groups in developing &amp; piloting research instruments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Maintain strong links with the relevant organisations to facilitate process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Awareness raising strategy implemented prior to data collection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Ensure equality of access to data collection procedures by providing alternative forms of completion (e.g. paper, online, large print, translation)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736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Resource</w:t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Changes in key project staff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HR processes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Appraisal process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Adequate staffing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Develop succession plan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Ensure handover mechanism in place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Involve other key members in partner organisations in project processes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Ensure ‘cover’ arrangements for illness etc.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1256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Appropriately qualified PI and RF/RA fellow recruited to undertake project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Recruitment process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Appraisal process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Liaison meetings with any partners sharing recruitment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Clear and appropriate training plan for researchers developed &amp; implemented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All human resources processes in place to manage the recruitment process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Weekly supervision undertaken, and as required, from project sponsor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  <w:tr>
        <w:trPr>
          <w:trHeight w:val="803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Project overruns planned timeframe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Project board meetings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Feedback from PI at key project stages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Project management systems used to manage project time frames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GANTT chart developed and updated regularly to monitor timeframes involved for each task</w:t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Project supervision undertaken by project board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cs="Arial"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Named person(s) with responsibility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6838" w:h="11906"/>
      <w:pgMar w:left="1247" w:right="1418" w:header="709" w:top="1418" w:footer="709" w:bottom="1418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ind w:left="0" w:right="360" w:hanging="0"/>
      <w:rPr>
        <w:rFonts w:cs="Arial" w:ascii="Arial" w:hAnsi="Arial"/>
        <w:sz w:val="16"/>
        <w:szCs w:val="16"/>
      </w:rPr>
    </w:pPr>
    <w:r>
      <w:rPr>
        <w:rFonts w:cs="Arial" w:ascii="Arial" w:hAnsi="Arial"/>
        <w:sz w:val="16"/>
        <w:szCs w:val="16"/>
      </w:rPr>
      <w:t>Risk Assessment Form – [OU/RI Date of Institutional Implementation]</w:t>
    </w:r>
    <w:r>
      <w:pict>
        <v:rect fillcolor="#FFFFFF" style="position:absolute;width:4.5pt;height:23pt;margin-top:0.05pt;margin-left:704.15pt">
          <v:fill opacity="0f"/>
          <v:textbox>
            <w:txbxContent>
              <w:p>
                <w:pPr>
                  <w:pStyle w:val="Footer"/>
                  <w:rPr>
                    <w:rStyle w:val="PageNumber"/>
                    <w:rFonts w:cs="Arial" w:ascii="Arial" w:hAnsi="Arial"/>
                    <w:sz w:val="16"/>
                    <w:szCs w:val="16"/>
                  </w:rPr>
                </w:pPr>
                <w:r>
                  <w:rPr>
                    <w:rStyle w:val="PageNumber"/>
                    <w:rFonts w:cs="Arial" w:ascii="Arial" w:hAnsi="Arial"/>
                    <w:sz w:val="16"/>
                    <w:szCs w:val="16"/>
                  </w:rPr>
                  <w:fldChar w:fldCharType="begin"/>
                </w:r>
                <w:r>
                  <w:instrText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  <w:p>
                <w:pPr>
                  <w:pStyle w:val="Footer"/>
                  <w:rPr/>
                </w:pPr>
                <w:r>
                  <w:rPr/>
                </w:r>
              </w:p>
            </w:txbxContent>
          </v:textbox>
          <w10:wrap type="square" side="largest"/>
        </v:rect>
      </w:pic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>
        <w:rFonts w:cs="Arial" w:ascii="Arial" w:hAnsi="Arial"/>
        <w:sz w:val="16"/>
        <w:szCs w:val="16"/>
      </w:rPr>
    </w:pPr>
    <w:hyperlink r:id="rId1">
      <w:r>
        <w:rPr>
          <w:rStyle w:val="InternetLink"/>
          <w:rFonts w:cs="Arial" w:ascii="Arial" w:hAnsi="Arial"/>
          <w:sz w:val="16"/>
          <w:szCs w:val="16"/>
        </w:rPr>
        <w:t>http://www.open.ac.uk/research/ethics/FAQs.shtm</w:t>
      </w:r>
    </w:hyperlink>
    <w:r>
      <w:rPr>
        <w:rFonts w:cs="Arial" w:ascii="Arial" w:hAnsi="Arial"/>
        <w:sz w:val="16"/>
        <w:szCs w:val="16"/>
      </w:rPr>
      <w:tab/>
      <w:tab/>
      <w:tab/>
      <w:tab/>
      <w:tab/>
      <w:tab/>
      <w:tab/>
      <w:tab/>
      <w:tab/>
      <w:t>March 2012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jc w:val="center"/>
      <w:rPr>
        <w:rFonts w:cs="Arial" w:ascii="Arial" w:hAnsi="Arial"/>
        <w:b/>
        <w:u w:val="single"/>
      </w:rPr>
    </w:pPr>
    <w:r>
      <w:rPr>
        <w:rFonts w:cs="Arial" w:ascii="Arial" w:hAnsi="Arial"/>
        <w:b/>
        <w:u w:val="single"/>
      </w:rPr>
    </w:r>
  </w:p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ing1"/>
      <w:numPr>
        <w:ilvl w:val="0"/>
        <w:numId w:val="1"/>
      </w:numPr>
      <w:spacing w:before="240" w:after="60"/>
      <w:rPr/>
    </w:pPr>
    <w:r>
      <w:rPr/>
      <w:t>H</w:t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8001000</wp:posOffset>
          </wp:positionH>
          <wp:positionV relativeFrom="paragraph">
            <wp:posOffset>-6985</wp:posOffset>
          </wp:positionV>
          <wp:extent cx="999490" cy="68262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68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/>
      <w:t>uman Research Ethics Committee</w:t>
      <w:br/>
      <w:t>Generic Protocols and Templates</w:t>
    </w:r>
  </w:p>
  <w:p>
    <w:pPr>
      <w:pStyle w:val="Header"/>
      <w:jc w:val="center"/>
      <w:rPr>
        <w:rFonts w:cs="Arial" w:ascii="Arial" w:hAnsi="Arial"/>
        <w:b/>
        <w:u w:val="single"/>
      </w:rPr>
    </w:pPr>
    <w:r>
      <w:rPr>
        <w:rFonts w:cs="Arial" w:ascii="Arial" w:hAnsi="Arial"/>
        <w:b/>
        <w:u w:val="single"/>
      </w:rPr>
    </w:r>
  </w:p>
  <w:p>
    <w:pPr>
      <w:pStyle w:val="Header"/>
      <w:jc w:val="center"/>
      <w:rPr>
        <w:rFonts w:cs="Arial" w:ascii="Arial" w:hAnsi="Arial"/>
        <w:b/>
      </w:rPr>
    </w:pPr>
    <w:r>
      <w:rPr>
        <w:rFonts w:cs="Arial" w:ascii="Arial" w:hAnsi="Arial"/>
        <w:b/>
      </w:rPr>
      <w:t>PROJECT RISK ASSESSMENT MATRIX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Cambria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Arial" w:hAnsi="Arial" w:eastAsia="Times New Roman" w:cs="Arial"/>
      <w:b/>
      <w:bCs/>
      <w:sz w:val="32"/>
      <w:szCs w:val="32"/>
      <w:lang w:val="en-US"/>
    </w:rPr>
  </w:style>
  <w:style w:type="character" w:styleId="DefaultParagraphFont">
    <w:name w:val="Default Paragraph Font"/>
    <w:rPr/>
  </w:style>
  <w:style w:type="character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styleId="HeaderChar">
    <w:name w:val="Header Char"/>
    <w:rPr>
      <w:rFonts w:ascii="Times New Roman" w:hAnsi="Times New Roman" w:cs="Times New Roman"/>
      <w:lang w:val="en-GB"/>
    </w:rPr>
  </w:style>
  <w:style w:type="character" w:styleId="FooterChar">
    <w:name w:val="Footer Char"/>
    <w:rPr>
      <w:rFonts w:ascii="Times New Roman" w:hAnsi="Times New Roman" w:cs="Times New Roman"/>
      <w:lang w:val="en-GB"/>
    </w:rPr>
  </w:style>
  <w:style w:type="character" w:styleId="PageNumber">
    <w:name w:val="Page Number"/>
    <w:rPr>
      <w:rFonts w:cs="Times New Roman"/>
    </w:rPr>
  </w:style>
  <w:style w:type="character" w:styleId="Heading1Char">
    <w:name w:val="Heading 1 Char"/>
    <w:rPr>
      <w:rFonts w:ascii="Arial" w:hAnsi="Arial" w:cs="Arial"/>
      <w:b/>
      <w:bCs/>
      <w:sz w:val="32"/>
      <w:szCs w:val="32"/>
      <w:lang w:val="en-US" w:bidi="ar-SA"/>
    </w:rPr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open.ac.uk/research/ethics/FAQs.shtm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1367256704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2015-01-14T16:54:00Z</dcterms:created>
  <dc:creator>Ron Iphofen</dc:creator>
  <cp:keywords>HREC Human Research Ethics Committee John Oates</cp:keywords>
  <dc:language>en-IN</dc:language>
  <cp:lastModifiedBy>Carmel.Collins</cp:lastModifiedBy>
  <cp:lastPrinted>2012-03-15T11:54:00Z</cp:lastPrinted>
  <dcterms:modified xsi:type="dcterms:W3CDTF">2015-01-14T16:54:00Z</dcterms:modified>
  <cp:revision>2</cp:revision>
  <dc:title>Project Risk Assessment Matrix</dc:title>
</cp:coreProperties>
</file>