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rsidR="00C867FD" w:rsidRPr="00C734E9" w:rsidRDefault="00404E6D">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00421D1A"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00421D1A"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rsidR="00C867FD" w:rsidRPr="00C734E9" w:rsidRDefault="00C867FD">
      <w:pPr>
        <w:jc w:val="center"/>
        <w:rPr>
          <w:rFonts w:ascii="Arial" w:hAnsi="Arial" w:cs="Arial"/>
          <w:sz w:val="18"/>
          <w:szCs w:val="18"/>
        </w:rPr>
      </w:pP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rsidR="00C867FD" w:rsidRPr="00C734E9" w:rsidRDefault="00C867FD">
      <w:pPr>
        <w:rPr>
          <w:rFonts w:ascii="Arial" w:hAnsi="Arial" w:cs="Arial"/>
          <w:b/>
          <w:bCs/>
          <w:u w:val="single"/>
        </w:rPr>
      </w:pPr>
    </w:p>
    <w:p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404E6D" w:rsidRPr="00C734E9">
        <w:rPr>
          <w:rFonts w:ascii="Arial" w:hAnsi="Arial" w:cs="Arial"/>
        </w:rPr>
        <w:fldChar w:fldCharType="begin">
          <w:ffData>
            <w:name w:val="Text2"/>
            <w:enabled/>
            <w:calcOnExit w:val="0"/>
            <w:textInput>
              <w:default w:val="[DATE OF THIS AGREEMENT]"/>
            </w:textInput>
          </w:ffData>
        </w:fldChar>
      </w:r>
      <w:bookmarkStart w:id="1" w:name="Text2"/>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[DATE OF THIS AGREEMENT]</w:t>
      </w:r>
      <w:r w:rsidR="00404E6D" w:rsidRPr="00C734E9">
        <w:rPr>
          <w:rFonts w:ascii="Arial" w:hAnsi="Arial" w:cs="Arial"/>
        </w:rPr>
        <w:fldChar w:fldCharType="end"/>
      </w:r>
      <w:bookmarkEnd w:id="1"/>
      <w:r w:rsidR="00162B98" w:rsidRPr="00C734E9">
        <w:rPr>
          <w:rFonts w:ascii="Arial" w:hAnsi="Arial" w:cs="Arial"/>
        </w:rPr>
        <w:t>,</w:t>
      </w:r>
      <w:r w:rsidRPr="00C734E9">
        <w:rPr>
          <w:rFonts w:ascii="Arial" w:hAnsi="Arial" w:cs="Arial"/>
        </w:rPr>
        <w:t xml:space="preserve"> is a: (check one)</w:t>
      </w:r>
    </w:p>
    <w:p w:rsidR="00C867FD" w:rsidRPr="00C734E9" w:rsidRDefault="00C867FD">
      <w:pPr>
        <w:outlineLvl w:val="0"/>
        <w:rPr>
          <w:rFonts w:ascii="Arial" w:hAnsi="Arial" w:cs="Arial"/>
        </w:rPr>
      </w:pPr>
    </w:p>
    <w:p w:rsidR="00C867FD" w:rsidRPr="00C734E9" w:rsidRDefault="00404E6D">
      <w:pPr>
        <w:ind w:left="360"/>
        <w:rPr>
          <w:rFonts w:ascii="Arial" w:hAnsi="Arial" w:cs="Arial"/>
        </w:rPr>
      </w:pPr>
      <w:sdt>
        <w:sdtPr>
          <w:rPr>
            <w:rFonts w:ascii="Arial" w:hAnsi="Arial" w:cs="Arial"/>
          </w:rPr>
          <w:id w:val="2141532481"/>
        </w:sdt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Pr="00C734E9">
        <w:rPr>
          <w:rFonts w:ascii="Arial" w:hAnsi="Arial" w:cs="Arial"/>
        </w:rPr>
        <w:fldChar w:fldCharType="begin">
          <w:ffData>
            <w:name w:val="Text3"/>
            <w:enabled/>
            <w:calcOnExit w:val="0"/>
            <w:textInput>
              <w:default w:val="[MEMBER'S NAME]"/>
            </w:textInput>
          </w:ffData>
        </w:fldChar>
      </w:r>
      <w:bookmarkStart w:id="2" w:name="Text3"/>
      <w:r w:rsidR="00162B98" w:rsidRPr="00C734E9">
        <w:rPr>
          <w:rFonts w:ascii="Arial" w:hAnsi="Arial" w:cs="Arial"/>
        </w:rPr>
        <w:instrText xml:space="preserve"> FORMTEXT </w:instrText>
      </w:r>
      <w:r w:rsidRPr="00C734E9">
        <w:rPr>
          <w:rFonts w:ascii="Arial" w:hAnsi="Arial" w:cs="Arial"/>
        </w:rPr>
      </w:r>
      <w:r w:rsidRPr="00C734E9">
        <w:rPr>
          <w:rFonts w:ascii="Arial" w:hAnsi="Arial" w:cs="Arial"/>
        </w:rPr>
        <w:fldChar w:fldCharType="separate"/>
      </w:r>
      <w:r w:rsidR="00162B98" w:rsidRPr="00C734E9">
        <w:rPr>
          <w:rFonts w:ascii="Arial" w:hAnsi="Arial" w:cs="Arial"/>
          <w:noProof/>
        </w:rPr>
        <w:t>[MEMBER'S NAME]</w:t>
      </w:r>
      <w:r w:rsidRPr="00C734E9">
        <w:rPr>
          <w:rFonts w:ascii="Arial" w:hAnsi="Arial" w:cs="Arial"/>
        </w:rPr>
        <w:fldChar w:fldCharType="end"/>
      </w:r>
      <w:bookmarkEnd w:id="2"/>
      <w:r w:rsidR="00421D1A" w:rsidRPr="00C734E9">
        <w:rPr>
          <w:rFonts w:ascii="Arial" w:hAnsi="Arial" w:cs="Arial"/>
        </w:rPr>
        <w:t xml:space="preserve">, being the sole owner with a mailing address of </w:t>
      </w:r>
      <w:r w:rsidRPr="00C734E9">
        <w:rPr>
          <w:rFonts w:ascii="Arial" w:hAnsi="Arial" w:cs="Arial"/>
        </w:rPr>
        <w:fldChar w:fldCharType="begin">
          <w:ffData>
            <w:name w:val="Text4"/>
            <w:enabled/>
            <w:calcOnExit w:val="0"/>
            <w:textInput>
              <w:default w:val="[MAILING ADDRESS]"/>
            </w:textInput>
          </w:ffData>
        </w:fldChar>
      </w:r>
      <w:bookmarkStart w:id="3" w:name="Text4"/>
      <w:r w:rsidR="00162B98" w:rsidRPr="00C734E9">
        <w:rPr>
          <w:rFonts w:ascii="Arial" w:hAnsi="Arial" w:cs="Arial"/>
        </w:rPr>
        <w:instrText xml:space="preserve"> FORMTEXT </w:instrText>
      </w:r>
      <w:r w:rsidRPr="00C734E9">
        <w:rPr>
          <w:rFonts w:ascii="Arial" w:hAnsi="Arial" w:cs="Arial"/>
        </w:rPr>
      </w:r>
      <w:r w:rsidRPr="00C734E9">
        <w:rPr>
          <w:rFonts w:ascii="Arial" w:hAnsi="Arial" w:cs="Arial"/>
        </w:rPr>
        <w:fldChar w:fldCharType="separate"/>
      </w:r>
      <w:r w:rsidR="00162B98" w:rsidRPr="00C734E9">
        <w:rPr>
          <w:rFonts w:ascii="Arial" w:hAnsi="Arial" w:cs="Arial"/>
          <w:noProof/>
        </w:rPr>
        <w:t>[MAILING ADDRESS]</w:t>
      </w:r>
      <w:r w:rsidRPr="00C734E9">
        <w:rPr>
          <w:rFonts w:ascii="Arial" w:hAnsi="Arial" w:cs="Arial"/>
        </w:rPr>
        <w:fldChar w:fldCharType="end"/>
      </w:r>
      <w:bookmarkEnd w:id="3"/>
      <w:r w:rsidR="00421D1A" w:rsidRPr="00C734E9">
        <w:rPr>
          <w:rFonts w:ascii="Arial" w:hAnsi="Arial" w:cs="Arial"/>
        </w:rPr>
        <w:t>.</w:t>
      </w:r>
    </w:p>
    <w:p w:rsidR="00C867FD" w:rsidRPr="00C734E9" w:rsidRDefault="00C867FD">
      <w:pPr>
        <w:ind w:left="360"/>
        <w:rPr>
          <w:rFonts w:ascii="Arial" w:hAnsi="Arial" w:cs="Arial"/>
        </w:rPr>
      </w:pPr>
    </w:p>
    <w:p w:rsidR="00C867FD" w:rsidRPr="00C734E9" w:rsidRDefault="00404E6D">
      <w:pPr>
        <w:ind w:left="360"/>
        <w:rPr>
          <w:rFonts w:ascii="Arial" w:hAnsi="Arial" w:cs="Arial"/>
        </w:rPr>
      </w:pPr>
      <w:sdt>
        <w:sdtPr>
          <w:rPr>
            <w:rFonts w:ascii="Arial" w:hAnsi="Arial" w:cs="Arial"/>
          </w:rPr>
          <w:id w:val="-358738383"/>
        </w:sdt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Pr="00C734E9">
        <w:rPr>
          <w:rFonts w:ascii="Arial" w:hAnsi="Arial" w:cs="Arial"/>
        </w:rPr>
        <w:fldChar w:fldCharType="begin">
          <w:ffData>
            <w:name w:val="Text9"/>
            <w:enabled/>
            <w:calcOnExit w:val="0"/>
            <w:textInput>
              <w:default w:val="[# OF MEMBERS]"/>
            </w:textInput>
          </w:ffData>
        </w:fldChar>
      </w:r>
      <w:bookmarkStart w:id="4" w:name="Text9"/>
      <w:r w:rsidR="00162B98" w:rsidRPr="00C734E9">
        <w:rPr>
          <w:rFonts w:ascii="Arial" w:hAnsi="Arial" w:cs="Arial"/>
        </w:rPr>
        <w:instrText xml:space="preserve"> FORMTEXT </w:instrText>
      </w:r>
      <w:r w:rsidRPr="00C734E9">
        <w:rPr>
          <w:rFonts w:ascii="Arial" w:hAnsi="Arial" w:cs="Arial"/>
        </w:rPr>
      </w:r>
      <w:r w:rsidRPr="00C734E9">
        <w:rPr>
          <w:rFonts w:ascii="Arial" w:hAnsi="Arial" w:cs="Arial"/>
        </w:rPr>
        <w:fldChar w:fldCharType="separate"/>
      </w:r>
      <w:r w:rsidR="00162B98" w:rsidRPr="00C734E9">
        <w:rPr>
          <w:rFonts w:ascii="Arial" w:hAnsi="Arial" w:cs="Arial"/>
          <w:noProof/>
        </w:rPr>
        <w:t>[# OF MEMBERS]</w:t>
      </w:r>
      <w:r w:rsidRPr="00C734E9">
        <w:rPr>
          <w:rFonts w:ascii="Arial" w:hAnsi="Arial" w:cs="Arial"/>
        </w:rPr>
        <w:fldChar w:fldCharType="end"/>
      </w:r>
      <w:bookmarkEnd w:id="4"/>
      <w:r w:rsidR="00421D1A" w:rsidRPr="00C734E9">
        <w:rPr>
          <w:rFonts w:ascii="Arial" w:hAnsi="Arial" w:cs="Arial"/>
        </w:rPr>
        <w:t>Members known as:</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#1: </w:t>
      </w:r>
      <w:r w:rsidR="00404E6D" w:rsidRPr="00C734E9">
        <w:rPr>
          <w:rFonts w:ascii="Arial" w:hAnsi="Arial" w:cs="Arial"/>
        </w:rPr>
        <w:fldChar w:fldCharType="begin">
          <w:ffData>
            <w:name w:val="Text5"/>
            <w:enabled/>
            <w:calcOnExit w:val="0"/>
            <w:textInput>
              <w:default w:val="[MEMBER'S NAME]"/>
            </w:textInput>
          </w:ffData>
        </w:fldChar>
      </w:r>
      <w:bookmarkStart w:id="5" w:name="Text5"/>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NAME]</w:t>
      </w:r>
      <w:r w:rsidR="00404E6D" w:rsidRPr="00C734E9">
        <w:rPr>
          <w:rFonts w:ascii="Arial" w:hAnsi="Arial" w:cs="Arial"/>
        </w:rPr>
        <w:fldChar w:fldCharType="end"/>
      </w:r>
      <w:bookmarkEnd w:id="5"/>
      <w:r w:rsidR="00162B98" w:rsidRPr="00C734E9">
        <w:rPr>
          <w:rFonts w:ascii="Arial" w:hAnsi="Arial" w:cs="Arial"/>
        </w:rPr>
        <w:t xml:space="preserve">, </w:t>
      </w:r>
      <w:r w:rsidRPr="00C734E9">
        <w:rPr>
          <w:rFonts w:ascii="Arial" w:hAnsi="Arial" w:cs="Arial"/>
        </w:rPr>
        <w:t xml:space="preserve">with ownership of </w:t>
      </w:r>
      <w:r w:rsidR="00404E6D" w:rsidRPr="00C734E9">
        <w:rPr>
          <w:rFonts w:ascii="Arial" w:hAnsi="Arial" w:cs="Arial"/>
        </w:rPr>
        <w:fldChar w:fldCharType="begin">
          <w:ffData>
            <w:name w:val="Text10"/>
            <w:enabled/>
            <w:calcOnExit w:val="0"/>
            <w:textInput>
              <w:default w:val="[OWNERSHIP]"/>
            </w:textInput>
          </w:ffData>
        </w:fldChar>
      </w:r>
      <w:bookmarkStart w:id="6" w:name="Text10"/>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[OWNERSHIP]</w:t>
      </w:r>
      <w:r w:rsidR="00404E6D" w:rsidRPr="00C734E9">
        <w:rPr>
          <w:rFonts w:ascii="Arial" w:hAnsi="Arial" w:cs="Arial"/>
        </w:rPr>
        <w:fldChar w:fldCharType="end"/>
      </w:r>
      <w:bookmarkEnd w:id="6"/>
      <w:r w:rsidRPr="00C734E9">
        <w:rPr>
          <w:rFonts w:ascii="Arial" w:hAnsi="Arial" w:cs="Arial"/>
        </w:rPr>
        <w:t xml:space="preserve">% of the Company, and a mailing address of </w:t>
      </w:r>
      <w:r w:rsidR="00404E6D" w:rsidRPr="00C734E9">
        <w:rPr>
          <w:rFonts w:ascii="Arial" w:hAnsi="Arial" w:cs="Arial"/>
        </w:rPr>
        <w:fldChar w:fldCharType="begin">
          <w:ffData>
            <w:name w:val="Text14"/>
            <w:enabled/>
            <w:calcOnExit w:val="0"/>
            <w:textInput>
              <w:default w:val="[MEMBER'S ADDRESS]"/>
            </w:textInput>
          </w:ffData>
        </w:fldChar>
      </w:r>
      <w:bookmarkStart w:id="7" w:name="Text14"/>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ADDRESS]</w:t>
      </w:r>
      <w:r w:rsidR="00404E6D" w:rsidRPr="00C734E9">
        <w:rPr>
          <w:rFonts w:ascii="Arial" w:hAnsi="Arial" w:cs="Arial"/>
        </w:rPr>
        <w:fldChar w:fldCharType="end"/>
      </w:r>
      <w:bookmarkEnd w:id="7"/>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#2: </w:t>
      </w:r>
      <w:r w:rsidR="00404E6D" w:rsidRPr="00C734E9">
        <w:rPr>
          <w:rFonts w:ascii="Arial" w:hAnsi="Arial" w:cs="Arial"/>
        </w:rPr>
        <w:fldChar w:fldCharType="begin">
          <w:ffData>
            <w:name w:val="Text6"/>
            <w:enabled/>
            <w:calcOnExit w:val="0"/>
            <w:textInput>
              <w:default w:val="[MEMBER'S NAME]"/>
            </w:textInput>
          </w:ffData>
        </w:fldChar>
      </w:r>
      <w:bookmarkStart w:id="8" w:name="Text6"/>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NAME]</w:t>
      </w:r>
      <w:r w:rsidR="00404E6D" w:rsidRPr="00C734E9">
        <w:rPr>
          <w:rFonts w:ascii="Arial" w:hAnsi="Arial" w:cs="Arial"/>
        </w:rPr>
        <w:fldChar w:fldCharType="end"/>
      </w:r>
      <w:bookmarkEnd w:id="8"/>
      <w:r w:rsidR="00162B98" w:rsidRPr="00C734E9">
        <w:rPr>
          <w:rFonts w:ascii="Arial" w:hAnsi="Arial" w:cs="Arial"/>
        </w:rPr>
        <w:t xml:space="preserve">, </w:t>
      </w:r>
      <w:r w:rsidRPr="00C734E9">
        <w:rPr>
          <w:rFonts w:ascii="Arial" w:hAnsi="Arial" w:cs="Arial"/>
        </w:rPr>
        <w:t xml:space="preserve">with ownership of </w:t>
      </w:r>
      <w:r w:rsidR="00404E6D" w:rsidRPr="00C734E9">
        <w:rPr>
          <w:rFonts w:ascii="Arial" w:hAnsi="Arial" w:cs="Arial"/>
        </w:rPr>
        <w:fldChar w:fldCharType="begin">
          <w:ffData>
            <w:name w:val="Text11"/>
            <w:enabled/>
            <w:calcOnExit w:val="0"/>
            <w:textInput>
              <w:default w:val="[OWNERSHIP]"/>
            </w:textInput>
          </w:ffData>
        </w:fldChar>
      </w:r>
      <w:bookmarkStart w:id="9" w:name="Text11"/>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[OWNERSHIP]</w:t>
      </w:r>
      <w:r w:rsidR="00404E6D" w:rsidRPr="00C734E9">
        <w:rPr>
          <w:rFonts w:ascii="Arial" w:hAnsi="Arial" w:cs="Arial"/>
        </w:rPr>
        <w:fldChar w:fldCharType="end"/>
      </w:r>
      <w:bookmarkEnd w:id="9"/>
      <w:r w:rsidRPr="00C734E9">
        <w:rPr>
          <w:rFonts w:ascii="Arial" w:hAnsi="Arial" w:cs="Arial"/>
        </w:rPr>
        <w:t>% of the Company, and a mailing address o</w:t>
      </w:r>
      <w:r w:rsidR="00162B98" w:rsidRPr="00C734E9">
        <w:rPr>
          <w:rFonts w:ascii="Arial" w:hAnsi="Arial" w:cs="Arial"/>
        </w:rPr>
        <w:t xml:space="preserve">f </w:t>
      </w:r>
      <w:r w:rsidR="00404E6D"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ADDRESS]</w:t>
      </w:r>
      <w:r w:rsidR="00404E6D" w:rsidRPr="00C734E9">
        <w:rPr>
          <w:rFonts w:ascii="Arial" w:hAnsi="Arial" w:cs="Arial"/>
        </w:rPr>
        <w:fldChar w:fldCharType="end"/>
      </w:r>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#3: </w:t>
      </w:r>
      <w:r w:rsidR="00404E6D" w:rsidRPr="00C734E9">
        <w:rPr>
          <w:rFonts w:ascii="Arial" w:hAnsi="Arial" w:cs="Arial"/>
        </w:rPr>
        <w:fldChar w:fldCharType="begin">
          <w:ffData>
            <w:name w:val="Text7"/>
            <w:enabled/>
            <w:calcOnExit w:val="0"/>
            <w:textInput>
              <w:default w:val="[MEMBER'S NAME]"/>
            </w:textInput>
          </w:ffData>
        </w:fldChar>
      </w:r>
      <w:bookmarkStart w:id="10" w:name="Text7"/>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NAME]</w:t>
      </w:r>
      <w:r w:rsidR="00404E6D" w:rsidRPr="00C734E9">
        <w:rPr>
          <w:rFonts w:ascii="Arial" w:hAnsi="Arial" w:cs="Arial"/>
        </w:rPr>
        <w:fldChar w:fldCharType="end"/>
      </w:r>
      <w:bookmarkEnd w:id="10"/>
      <w:r w:rsidR="00162B98" w:rsidRPr="00C734E9">
        <w:rPr>
          <w:rFonts w:ascii="Arial" w:hAnsi="Arial" w:cs="Arial"/>
        </w:rPr>
        <w:t xml:space="preserve">, </w:t>
      </w:r>
      <w:r w:rsidRPr="00C734E9">
        <w:rPr>
          <w:rFonts w:ascii="Arial" w:hAnsi="Arial" w:cs="Arial"/>
        </w:rPr>
        <w:t xml:space="preserve">with ownership of </w:t>
      </w:r>
      <w:r w:rsidR="00404E6D" w:rsidRPr="00C734E9">
        <w:rPr>
          <w:rFonts w:ascii="Arial" w:hAnsi="Arial" w:cs="Arial"/>
        </w:rPr>
        <w:fldChar w:fldCharType="begin">
          <w:ffData>
            <w:name w:val="Text12"/>
            <w:enabled/>
            <w:calcOnExit w:val="0"/>
            <w:textInput>
              <w:default w:val="[OWNERSHIP]"/>
            </w:textInput>
          </w:ffData>
        </w:fldChar>
      </w:r>
      <w:bookmarkStart w:id="11" w:name="Text12"/>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[OWNERSHIP]</w:t>
      </w:r>
      <w:r w:rsidR="00404E6D" w:rsidRPr="00C734E9">
        <w:rPr>
          <w:rFonts w:ascii="Arial" w:hAnsi="Arial" w:cs="Arial"/>
        </w:rPr>
        <w:fldChar w:fldCharType="end"/>
      </w:r>
      <w:bookmarkEnd w:id="11"/>
      <w:r w:rsidRPr="00C734E9">
        <w:rPr>
          <w:rFonts w:ascii="Arial" w:hAnsi="Arial" w:cs="Arial"/>
        </w:rPr>
        <w:t xml:space="preserve">% of the Company, and a mailing address of </w:t>
      </w:r>
      <w:r w:rsidR="00404E6D"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ADDRESS]</w:t>
      </w:r>
      <w:r w:rsidR="00404E6D" w:rsidRPr="00C734E9">
        <w:rPr>
          <w:rFonts w:ascii="Arial" w:hAnsi="Arial" w:cs="Arial"/>
        </w:rPr>
        <w:fldChar w:fldCharType="end"/>
      </w:r>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#4: </w:t>
      </w:r>
      <w:r w:rsidR="00404E6D" w:rsidRPr="00C734E9">
        <w:rPr>
          <w:rFonts w:ascii="Arial" w:hAnsi="Arial" w:cs="Arial"/>
        </w:rPr>
        <w:fldChar w:fldCharType="begin">
          <w:ffData>
            <w:name w:val="Text8"/>
            <w:enabled/>
            <w:calcOnExit w:val="0"/>
            <w:textInput>
              <w:default w:val="[MEMBER'S NAME]"/>
            </w:textInput>
          </w:ffData>
        </w:fldChar>
      </w:r>
      <w:bookmarkStart w:id="12" w:name="Text8"/>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NAME]</w:t>
      </w:r>
      <w:r w:rsidR="00404E6D" w:rsidRPr="00C734E9">
        <w:rPr>
          <w:rFonts w:ascii="Arial" w:hAnsi="Arial" w:cs="Arial"/>
        </w:rPr>
        <w:fldChar w:fldCharType="end"/>
      </w:r>
      <w:bookmarkEnd w:id="12"/>
      <w:r w:rsidR="00162B98" w:rsidRPr="00C734E9">
        <w:rPr>
          <w:rFonts w:ascii="Arial" w:hAnsi="Arial" w:cs="Arial"/>
        </w:rPr>
        <w:t xml:space="preserve">, </w:t>
      </w:r>
      <w:r w:rsidRPr="00C734E9">
        <w:rPr>
          <w:rFonts w:ascii="Arial" w:hAnsi="Arial" w:cs="Arial"/>
        </w:rPr>
        <w:t xml:space="preserve">with ownership of </w:t>
      </w:r>
      <w:r w:rsidR="00404E6D" w:rsidRPr="00C734E9">
        <w:rPr>
          <w:rFonts w:ascii="Arial" w:hAnsi="Arial" w:cs="Arial"/>
        </w:rPr>
        <w:fldChar w:fldCharType="begin">
          <w:ffData>
            <w:name w:val="Text13"/>
            <w:enabled/>
            <w:calcOnExit w:val="0"/>
            <w:textInput>
              <w:default w:val="[OWNERSHIP]"/>
            </w:textInput>
          </w:ffData>
        </w:fldChar>
      </w:r>
      <w:bookmarkStart w:id="13" w:name="Text13"/>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[OWNERSHIP]</w:t>
      </w:r>
      <w:r w:rsidR="00404E6D" w:rsidRPr="00C734E9">
        <w:rPr>
          <w:rFonts w:ascii="Arial" w:hAnsi="Arial" w:cs="Arial"/>
        </w:rPr>
        <w:fldChar w:fldCharType="end"/>
      </w:r>
      <w:bookmarkEnd w:id="13"/>
      <w:r w:rsidRPr="00C734E9">
        <w:rPr>
          <w:rFonts w:ascii="Arial" w:hAnsi="Arial" w:cs="Arial"/>
        </w:rPr>
        <w:t xml:space="preserve">% of the Company, and a mailing address of </w:t>
      </w:r>
      <w:r w:rsidR="00404E6D"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[MEMBER'S ADDRESS]</w:t>
      </w:r>
      <w:r w:rsidR="00404E6D" w:rsidRPr="00C734E9">
        <w:rPr>
          <w:rFonts w:ascii="Arial" w:hAnsi="Arial" w:cs="Arial"/>
        </w:rPr>
        <w:fldChar w:fldCharType="end"/>
      </w:r>
      <w:r w:rsidRPr="00C734E9">
        <w:rPr>
          <w:rFonts w:ascii="Arial" w:hAnsi="Arial" w:cs="Arial"/>
        </w:rPr>
        <w:t>.</w:t>
      </w:r>
    </w:p>
    <w:p w:rsidR="00C867FD" w:rsidRPr="00C734E9" w:rsidRDefault="00C867FD">
      <w:pPr>
        <w:ind w:left="720"/>
        <w:rPr>
          <w:rFonts w:ascii="Arial" w:hAnsi="Arial" w:cs="Arial"/>
        </w:rPr>
      </w:pPr>
    </w:p>
    <w:p w:rsidR="00C867FD" w:rsidRPr="00C734E9" w:rsidRDefault="00421D1A">
      <w:pPr>
        <w:rPr>
          <w:rFonts w:ascii="Arial" w:hAnsi="Arial" w:cs="Arial"/>
        </w:rPr>
      </w:pPr>
      <w:r w:rsidRPr="00C734E9">
        <w:rPr>
          <w:rFonts w:ascii="Arial" w:hAnsi="Arial" w:cs="Arial"/>
        </w:rPr>
        <w:t>(“Member(s)”)</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404E6D" w:rsidRPr="00C734E9">
        <w:rPr>
          <w:rFonts w:ascii="Arial" w:hAnsi="Arial" w:cs="Arial"/>
        </w:rPr>
        <w:fldChar w:fldCharType="begin">
          <w:ffData>
            <w:name w:val="Text15"/>
            <w:enabled/>
            <w:calcOnExit w:val="0"/>
            <w:textInput>
              <w:default w:val="[STATE OF FORMATION]"/>
            </w:textInput>
          </w:ffData>
        </w:fldChar>
      </w:r>
      <w:bookmarkStart w:id="14" w:name="Text15"/>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[STATE OF FORMATION]</w:t>
      </w:r>
      <w:r w:rsidR="00404E6D" w:rsidRPr="00C734E9">
        <w:rPr>
          <w:rFonts w:ascii="Arial" w:hAnsi="Arial" w:cs="Arial"/>
        </w:rPr>
        <w:fldChar w:fldCharType="end"/>
      </w:r>
      <w:bookmarkEnd w:id="14"/>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rsidR="00C867FD" w:rsidRPr="00C734E9" w:rsidRDefault="00C867FD">
      <w:pPr>
        <w:jc w:val="cente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rsidR="00C867FD" w:rsidRPr="00C734E9" w:rsidRDefault="00C867FD">
      <w:pPr>
        <w:pStyle w:val="ListParagraph"/>
        <w:ind w:left="360"/>
        <w:rPr>
          <w:rFonts w:ascii="Arial" w:hAnsi="Arial" w:cs="Arial"/>
          <w:b/>
          <w:bCs/>
          <w:u w:val="single"/>
        </w:rPr>
      </w:pPr>
    </w:p>
    <w:p w:rsidR="00C867FD" w:rsidRPr="00C734E9" w:rsidRDefault="00421D1A">
      <w:pPr>
        <w:rPr>
          <w:rFonts w:ascii="Arial" w:hAnsi="Arial" w:cs="Arial"/>
        </w:rPr>
      </w:pPr>
      <w:r w:rsidRPr="00C734E9">
        <w:rPr>
          <w:rFonts w:ascii="Arial" w:hAnsi="Arial" w:cs="Arial"/>
        </w:rPr>
        <w:t xml:space="preserve">The name of the Company shall be </w:t>
      </w:r>
      <w:r w:rsidR="00404E6D" w:rsidRPr="00C734E9">
        <w:rPr>
          <w:rFonts w:ascii="Arial" w:hAnsi="Arial" w:cs="Arial"/>
        </w:rPr>
        <w:fldChar w:fldCharType="begin">
          <w:ffData>
            <w:name w:val="Text16"/>
            <w:enabled/>
            <w:calcOnExit w:val="0"/>
            <w:textInput>
              <w:default w:val="[NAME OF COMPANY]"/>
            </w:textInput>
          </w:ffData>
        </w:fldChar>
      </w:r>
      <w:bookmarkStart w:id="15" w:name="Text16"/>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[NAME OF COMPANY]</w:t>
      </w:r>
      <w:r w:rsidR="00404E6D" w:rsidRPr="00C734E9">
        <w:rPr>
          <w:rFonts w:ascii="Arial" w:hAnsi="Arial" w:cs="Arial"/>
        </w:rPr>
        <w:fldChar w:fldCharType="end"/>
      </w:r>
      <w:bookmarkEnd w:id="15"/>
      <w:r w:rsidRPr="00C734E9">
        <w:rPr>
          <w:rFonts w:ascii="Arial" w:hAnsi="Arial" w:cs="Arial"/>
        </w:rPr>
        <w:t xml:space="preserve">, LLC with a principal place of business located at </w:t>
      </w:r>
      <w:r w:rsidR="00404E6D" w:rsidRPr="00C734E9">
        <w:rPr>
          <w:rFonts w:ascii="Arial" w:hAnsi="Arial" w:cs="Arial"/>
        </w:rPr>
        <w:fldChar w:fldCharType="begin">
          <w:ffData>
            <w:name w:val="Text17"/>
            <w:enabled/>
            <w:calcOnExit w:val="0"/>
            <w:textInput>
              <w:default w:val="[PRINCIPAL PLACE OF BUSINESS]"/>
            </w:textInput>
          </w:ffData>
        </w:fldChar>
      </w:r>
      <w:bookmarkStart w:id="16" w:name="Text17"/>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[PRINCIPAL PLACE OF BUSINESS]</w:t>
      </w:r>
      <w:r w:rsidR="00404E6D" w:rsidRPr="00C734E9">
        <w:rPr>
          <w:rFonts w:ascii="Arial" w:hAnsi="Arial" w:cs="Arial"/>
        </w:rPr>
        <w:fldChar w:fldCharType="end"/>
      </w:r>
      <w:bookmarkEnd w:id="16"/>
      <w:r w:rsidRPr="00C734E9">
        <w:rPr>
          <w:rFonts w:ascii="Arial" w:hAnsi="Arial" w:cs="Arial"/>
        </w:rPr>
        <w:t xml:space="preserve"> or at any other such place of business that the Member(s) shall determine. </w:t>
      </w:r>
    </w:p>
    <w:p w:rsidR="00C867FD" w:rsidRPr="00C734E9" w:rsidRDefault="00C867FD">
      <w:pPr>
        <w:rPr>
          <w:rFonts w:ascii="Arial" w:hAnsi="Arial" w:cs="Arial"/>
          <w:u w:val="single"/>
        </w:rPr>
      </w:pPr>
    </w:p>
    <w:p w:rsidR="00C867FD" w:rsidRPr="00365C30" w:rsidRDefault="00421D1A" w:rsidP="00365C30">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rsidR="00365C30" w:rsidRDefault="00365C30">
      <w:pPr>
        <w:rPr>
          <w:rFonts w:ascii="Arial" w:hAnsi="Arial" w:cs="Arial"/>
        </w:rPr>
      </w:pPr>
    </w:p>
    <w:p w:rsidR="00C867FD" w:rsidRPr="00C734E9" w:rsidRDefault="00421D1A">
      <w:pPr>
        <w:rPr>
          <w:rFonts w:ascii="Arial" w:hAnsi="Arial" w:cs="Arial"/>
        </w:rPr>
      </w:pPr>
      <w:r w:rsidRPr="00C734E9">
        <w:rPr>
          <w:rFonts w:ascii="Arial" w:hAnsi="Arial" w:cs="Arial"/>
        </w:rPr>
        <w:t xml:space="preserve">The Company was formed on </w:t>
      </w:r>
      <w:r w:rsidR="00404E6D" w:rsidRPr="00C734E9">
        <w:rPr>
          <w:rFonts w:ascii="Arial" w:hAnsi="Arial" w:cs="Arial"/>
        </w:rPr>
        <w:fldChar w:fldCharType="begin">
          <w:ffData>
            <w:name w:val="Text18"/>
            <w:enabled/>
            <w:calcOnExit w:val="0"/>
            <w:textInput>
              <w:default w:val="[FORMATION DATE]"/>
            </w:textInput>
          </w:ffData>
        </w:fldChar>
      </w:r>
      <w:bookmarkStart w:id="17" w:name="Text18"/>
      <w:r w:rsidR="00162B98"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162B98" w:rsidRPr="00C734E9">
        <w:rPr>
          <w:rFonts w:ascii="Arial" w:hAnsi="Arial" w:cs="Arial"/>
          <w:noProof/>
        </w:rPr>
        <w:t>[FORMATION DATE]</w:t>
      </w:r>
      <w:r w:rsidR="00404E6D" w:rsidRPr="00C734E9">
        <w:rPr>
          <w:rFonts w:ascii="Arial" w:hAnsi="Arial" w:cs="Arial"/>
        </w:rPr>
        <w:fldChar w:fldCharType="end"/>
      </w:r>
      <w:bookmarkEnd w:id="17"/>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rsidR="00C867FD" w:rsidRPr="00C734E9" w:rsidRDefault="00C867FD">
      <w:pPr>
        <w:rPr>
          <w:rFonts w:ascii="Arial" w:hAnsi="Arial" w:cs="Arial"/>
        </w:rPr>
      </w:pPr>
    </w:p>
    <w:p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t>Member(s) Capital Contributions</w:t>
      </w:r>
    </w:p>
    <w:p w:rsidR="00C867FD" w:rsidRPr="00C734E9" w:rsidRDefault="00C867FD" w:rsidP="001940A6">
      <w:pPr>
        <w:jc w:val="both"/>
        <w:rPr>
          <w:rFonts w:ascii="Arial" w:hAnsi="Arial" w:cs="Arial"/>
          <w:u w:val="single"/>
        </w:rPr>
      </w:pPr>
    </w:p>
    <w:p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rsidR="001940A6" w:rsidRPr="00C734E9" w:rsidRDefault="001940A6" w:rsidP="001940A6">
      <w:pPr>
        <w:pStyle w:val="ListParagraph"/>
        <w:rPr>
          <w:rFonts w:ascii="Arial" w:hAnsi="Arial" w:cs="Arial"/>
        </w:rPr>
      </w:pPr>
    </w:p>
    <w:p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#1: </w:t>
      </w:r>
      <w:r w:rsidR="00404E6D"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[MEMBER'S NAME]</w:t>
      </w:r>
      <w:r w:rsidR="00404E6D"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404E6D" w:rsidRPr="00C734E9">
        <w:rPr>
          <w:rFonts w:ascii="Arial" w:hAnsi="Arial" w:cs="Arial"/>
        </w:rPr>
        <w:fldChar w:fldCharType="begin">
          <w:ffData>
            <w:name w:val="Text19"/>
            <w:enabled/>
            <w:calcOnExit w:val="0"/>
            <w:textInput>
              <w:default w:val="[DESCRIBE THE CONTRIBUTION AND ITS VALUE ($)]"/>
            </w:textInput>
          </w:ffData>
        </w:fldChar>
      </w:r>
      <w:bookmarkStart w:id="18" w:name="Text19"/>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[DESCRIBE THE CONTRIBUTION AND ITS VALUE ($)]</w:t>
      </w:r>
      <w:r w:rsidR="00404E6D" w:rsidRPr="00C734E9">
        <w:rPr>
          <w:rFonts w:ascii="Arial" w:hAnsi="Arial" w:cs="Arial"/>
        </w:rPr>
        <w:fldChar w:fldCharType="end"/>
      </w:r>
      <w:bookmarkEnd w:id="18"/>
      <w:r w:rsidR="002B03CD">
        <w:rPr>
          <w:rFonts w:ascii="Arial" w:hAnsi="Arial" w:cs="Arial"/>
        </w:rPr>
        <w:t>.</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#2: </w:t>
      </w:r>
      <w:r w:rsidR="00404E6D"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[MEMBER'S NAME]</w:t>
      </w:r>
      <w:r w:rsidR="00404E6D"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404E6D"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[DESCRIBE THE CONTRIBUTION AND ITS VALUE ($)]</w:t>
      </w:r>
      <w:r w:rsidR="00404E6D"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#3: </w:t>
      </w:r>
      <w:r w:rsidR="00404E6D"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[MEMBER'S NAME]</w:t>
      </w:r>
      <w:r w:rsidR="00404E6D"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404E6D"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[DESCRIBE THE CONTRIBUTION AND ITS VALUE ($)]</w:t>
      </w:r>
      <w:r w:rsidR="00404E6D"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#4: </w:t>
      </w:r>
      <w:r w:rsidR="00404E6D"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[MEMBER'S NAME]</w:t>
      </w:r>
      <w:r w:rsidR="00404E6D"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404E6D"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A70BA3" w:rsidRPr="00C734E9">
        <w:rPr>
          <w:rFonts w:ascii="Arial" w:hAnsi="Arial" w:cs="Arial"/>
          <w:noProof/>
        </w:rPr>
        <w:t>[DESCRIBE THE CONTRIBUTION AND ITS VALUE ($)]</w:t>
      </w:r>
      <w:r w:rsidR="00404E6D"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rsidR="00F04FB0" w:rsidRPr="00C734E9" w:rsidRDefault="00F04FB0" w:rsidP="00F04FB0">
      <w:pPr>
        <w:rPr>
          <w:rFonts w:ascii="Arial" w:hAnsi="Arial" w:cs="Arial"/>
        </w:rPr>
      </w:pPr>
    </w:p>
    <w:p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rsidR="00F04FB0" w:rsidRPr="00C734E9" w:rsidRDefault="00F04FB0" w:rsidP="00F04FB0">
      <w:pPr>
        <w:jc w:val="center"/>
        <w:rPr>
          <w:rFonts w:ascii="Arial" w:hAnsi="Arial" w:cs="Arial"/>
        </w:rPr>
      </w:pPr>
    </w:p>
    <w:p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 State.</w:t>
      </w:r>
    </w:p>
    <w:p w:rsidR="001940A6" w:rsidRPr="00C734E9" w:rsidRDefault="001940A6" w:rsidP="001940A6">
      <w:pPr>
        <w:rPr>
          <w:rFonts w:ascii="Arial" w:hAnsi="Arial" w:cs="Arial"/>
        </w:rPr>
      </w:pPr>
    </w:p>
    <w:p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The </w:t>
      </w:r>
      <w:r w:rsidR="00406B40" w:rsidRPr="00C734E9">
        <w:rPr>
          <w:rFonts w:ascii="Arial" w:hAnsi="Arial" w:cs="Arial"/>
        </w:rPr>
        <w:t>Member(s)</w:t>
      </w:r>
      <w:r w:rsidRPr="00C734E9">
        <w:rPr>
          <w:rFonts w:ascii="Arial" w:hAnsi="Arial" w:cs="Arial"/>
        </w:rPr>
        <w:t xml:space="preserve"> shall not be liable for the debts, obligations, or liabilities of the 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rsidR="001940A6" w:rsidRPr="00C734E9" w:rsidRDefault="001940A6" w:rsidP="001940A6">
      <w:pPr>
        <w:pStyle w:val="ListParagraph"/>
        <w:rPr>
          <w:rFonts w:ascii="Arial" w:hAnsi="Arial" w:cs="Arial"/>
        </w:rPr>
      </w:pPr>
    </w:p>
    <w:p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rsidR="00F04FB0" w:rsidRPr="00C734E9" w:rsidRDefault="00F04FB0" w:rsidP="00F04FB0">
      <w:pPr>
        <w:ind w:left="360"/>
        <w:rPr>
          <w:rFonts w:ascii="Arial" w:hAnsi="Arial" w:cs="Arial"/>
        </w:rPr>
      </w:pPr>
    </w:p>
    <w:p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rsidR="00F04FB0" w:rsidRPr="00C734E9" w:rsidRDefault="00F04FB0" w:rsidP="00F04FB0">
      <w:pPr>
        <w:ind w:left="360"/>
        <w:rPr>
          <w:rFonts w:ascii="Arial" w:hAnsi="Arial" w:cs="Arial"/>
        </w:rPr>
      </w:pPr>
    </w:p>
    <w:p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rsidR="00C867FD" w:rsidRPr="00C734E9" w:rsidRDefault="00C867FD">
      <w:pPr>
        <w:rPr>
          <w:rFonts w:ascii="Arial" w:hAnsi="Arial" w:cs="Arial"/>
          <w:caps/>
        </w:rPr>
      </w:pPr>
    </w:p>
    <w:p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rsidR="001940A6" w:rsidRPr="00C734E9" w:rsidRDefault="001940A6">
      <w:pPr>
        <w:rPr>
          <w:rFonts w:ascii="Arial" w:hAnsi="Arial" w:cs="Arial"/>
        </w:rPr>
      </w:pPr>
    </w:p>
    <w:p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Single-Member</w:t>
      </w:r>
      <w:r w:rsidR="00B329EB" w:rsidRPr="00C734E9">
        <w:rPr>
          <w:rFonts w:ascii="Arial" w:hAnsi="Arial" w:cs="Arial"/>
        </w:rPr>
        <w:t>(Applies ONLY if Single-Member)</w:t>
      </w:r>
      <w:r w:rsidRPr="00C734E9">
        <w:rPr>
          <w:rFonts w:ascii="Arial" w:hAnsi="Arial" w:cs="Arial"/>
        </w:rPr>
        <w:t>: A “Capital Account” for the Member(s) shall be maintained by the Company. The Member(s)'s Capital Account shall reflect the Member(s)’s capital contributions and increases for any net income or gain of the Company. The Member(s)’s Capital Account shall also reflect decreases for distributions made to the Member(s) and the Member(s)’s share of any losses and deductions of the Company.</w:t>
      </w:r>
    </w:p>
    <w:p w:rsidR="001940A6" w:rsidRPr="00C734E9" w:rsidRDefault="001940A6" w:rsidP="001940A6">
      <w:pPr>
        <w:pStyle w:val="ListParagraph"/>
        <w:autoSpaceDE w:val="0"/>
        <w:ind w:left="840"/>
        <w:rPr>
          <w:rFonts w:ascii="Arial" w:hAnsi="Arial" w:cs="Arial"/>
        </w:rPr>
      </w:pPr>
    </w:p>
    <w:p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rsidR="00C867FD" w:rsidRPr="00C734E9" w:rsidRDefault="00C867FD" w:rsidP="001940A6">
      <w:pPr>
        <w:ind w:left="720"/>
        <w:rPr>
          <w:rFonts w:ascii="Arial" w:hAnsi="Arial" w:cs="Arial"/>
          <w:b/>
        </w:rPr>
      </w:pPr>
    </w:p>
    <w:p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their capital account; then (b) to the Member(s) in proportion to the Members' Percentage Interests.</w:t>
      </w:r>
    </w:p>
    <w:p w:rsidR="00C867FD" w:rsidRPr="00C734E9" w:rsidRDefault="00C867FD">
      <w:pPr>
        <w:ind w:left="720"/>
        <w:rPr>
          <w:rFonts w:ascii="Arial" w:hAnsi="Arial" w:cs="Arial"/>
        </w:rPr>
      </w:pPr>
    </w:p>
    <w:p w:rsidR="00C867FD" w:rsidRPr="00C734E9" w:rsidRDefault="00421D1A" w:rsidP="00764D90">
      <w:pPr>
        <w:ind w:left="720"/>
        <w:rPr>
          <w:rFonts w:ascii="Arial" w:hAnsi="Arial" w:cs="Arial"/>
        </w:rPr>
      </w:pPr>
      <w:r w:rsidRPr="00C734E9">
        <w:rPr>
          <w:rFonts w:ascii="Arial" w:hAnsi="Arial" w:cs="Arial"/>
        </w:rPr>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rsidR="00C867FD" w:rsidRPr="00C734E9" w:rsidRDefault="00C867FD">
      <w:pPr>
        <w:rPr>
          <w:rFonts w:ascii="Arial" w:hAnsi="Arial" w:cs="Arial"/>
        </w:rPr>
      </w:pPr>
    </w:p>
    <w:p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rsidR="00C867FD" w:rsidRPr="00C734E9" w:rsidRDefault="00C867FD">
      <w:pPr>
        <w:rPr>
          <w:rFonts w:ascii="Arial" w:hAnsi="Arial" w:cs="Arial"/>
        </w:rPr>
      </w:pPr>
    </w:p>
    <w:p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rsidR="00C867FD" w:rsidRPr="00C734E9" w:rsidRDefault="00C867FD">
      <w:pPr>
        <w:autoSpaceDE w:val="0"/>
        <w:ind w:left="360"/>
        <w:rPr>
          <w:rFonts w:ascii="Arial" w:hAnsi="Arial" w:cs="Arial"/>
        </w:rPr>
      </w:pPr>
    </w:p>
    <w:p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rsidR="001940A6" w:rsidRPr="00C734E9" w:rsidRDefault="001940A6" w:rsidP="001940A6">
      <w:pPr>
        <w:autoSpaceDE w:val="0"/>
        <w:ind w:left="360"/>
        <w:rPr>
          <w:rFonts w:ascii="Arial" w:hAnsi="Arial" w:cs="Arial"/>
        </w:rPr>
      </w:pPr>
    </w:p>
    <w:p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Code, shall be made by the Company by the affirmative vote or consent of Member(s) holding a majority of the Members’ Percentage Interests. </w:t>
      </w:r>
    </w:p>
    <w:p w:rsidR="00C867FD" w:rsidRPr="00C734E9" w:rsidRDefault="00C867FD" w:rsidP="001940A6">
      <w:pPr>
        <w:ind w:left="720"/>
        <w:rPr>
          <w:rFonts w:ascii="Arial" w:hAnsi="Arial" w:cs="Arial"/>
        </w:rPr>
      </w:pPr>
    </w:p>
    <w:p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rsidR="00A70BA3" w:rsidRPr="00C734E9" w:rsidRDefault="00A70BA3" w:rsidP="00A70BA3">
      <w:pPr>
        <w:rPr>
          <w:rFonts w:ascii="Arial" w:hAnsi="Arial" w:cs="Arial"/>
        </w:rPr>
      </w:pPr>
    </w:p>
    <w:p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rsidR="00A70BA3" w:rsidRPr="00C734E9" w:rsidRDefault="00A70BA3" w:rsidP="00A70BA3">
      <w:pPr>
        <w:rPr>
          <w:rFonts w:ascii="Arial" w:hAnsi="Arial" w:cs="Arial"/>
        </w:rPr>
      </w:pPr>
    </w:p>
    <w:p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rPr>
        <w:t>(Applies ONLY if Single-Member)</w:t>
      </w:r>
      <w:r w:rsidRPr="00C734E9">
        <w:rPr>
          <w:rFonts w:ascii="Arial" w:hAnsi="Arial" w:cs="Arial"/>
        </w:rPr>
        <w:t>: The Company shall dissolve and its affairs shall be wound up on the first to occur of (i) At a time, or upon the occurrence of an event specified in the Articles of Organization or this Agreement. (ii) The determination by the Member that the Company shall be dissolved.</w:t>
      </w:r>
    </w:p>
    <w:p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rsidR="00A70BA3" w:rsidRPr="00C734E9" w:rsidRDefault="00A70BA3" w:rsidP="006E3CC6">
      <w:pPr>
        <w:autoSpaceDE w:val="0"/>
        <w:ind w:left="720"/>
        <w:rPr>
          <w:rFonts w:ascii="Arial" w:hAnsi="Arial" w:cs="Arial"/>
        </w:rPr>
      </w:pPr>
    </w:p>
    <w:p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rsidR="00A70BA3" w:rsidRPr="00C734E9" w:rsidRDefault="00A70BA3" w:rsidP="00A70BA3">
      <w:pPr>
        <w:ind w:left="360"/>
        <w:rPr>
          <w:rFonts w:ascii="Arial" w:hAnsi="Arial" w:cs="Arial"/>
        </w:rPr>
      </w:pPr>
    </w:p>
    <w:p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rPr>
        <w:t>(Applies ONLY if Multi-Member)</w:t>
      </w:r>
      <w:r w:rsidRPr="00C734E9">
        <w:rPr>
          <w:rFonts w:ascii="Arial" w:hAnsi="Arial" w:cs="Arial"/>
        </w:rPr>
        <w:t>: The Company shall terminate upon the occurrence of any of the following: (i)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shall be paid over to a licensed attorney to hold in escrow for a period of two years for the purpose of payment of any liabilities and obligations, at the expiration of which 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rsidR="00C867FD" w:rsidRPr="00C734E9" w:rsidRDefault="00C867FD">
      <w:pPr>
        <w:rPr>
          <w:rFonts w:ascii="Arial" w:hAnsi="Arial" w:cs="Arial"/>
        </w:rPr>
      </w:pPr>
    </w:p>
    <w:p w:rsidR="00C867FD" w:rsidRPr="00C734E9" w:rsidRDefault="00421D1A">
      <w:pPr>
        <w:numPr>
          <w:ilvl w:val="0"/>
          <w:numId w:val="1"/>
        </w:numPr>
        <w:rPr>
          <w:rFonts w:ascii="Arial" w:hAnsi="Arial" w:cs="Arial"/>
        </w:rPr>
      </w:pPr>
      <w:r w:rsidRPr="00C734E9">
        <w:rPr>
          <w:rFonts w:ascii="Arial" w:hAnsi="Arial" w:cs="Arial"/>
          <w:b/>
          <w:bCs/>
          <w:u w:val="single"/>
        </w:rPr>
        <w:t>Purpose</w:t>
      </w:r>
    </w:p>
    <w:p w:rsidR="00C867FD" w:rsidRPr="00C734E9" w:rsidRDefault="00C867FD">
      <w:pPr>
        <w:ind w:left="360"/>
        <w:rPr>
          <w:rFonts w:ascii="Arial" w:hAnsi="Arial" w:cs="Arial"/>
        </w:rPr>
      </w:pPr>
    </w:p>
    <w:p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rsidR="00C867FD" w:rsidRPr="00C734E9" w:rsidRDefault="00C867FD">
      <w:pPr>
        <w:rPr>
          <w:rFonts w:ascii="Arial" w:hAnsi="Arial" w:cs="Arial"/>
        </w:rPr>
      </w:pPr>
    </w:p>
    <w:p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rsidR="00C867FD" w:rsidRPr="00C734E9" w:rsidRDefault="00C867FD">
      <w:pPr>
        <w:autoSpaceDE w:val="0"/>
        <w:rPr>
          <w:rFonts w:ascii="Arial" w:hAnsi="Arial" w:cs="Arial"/>
        </w:rPr>
      </w:pPr>
    </w:p>
    <w:p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 xml:space="preserve">All funds of the Company shall be deposited in the Company’s name in a bank account or accounts as chosen by the Member(s).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rsidR="00BA01B1" w:rsidRPr="00C734E9" w:rsidRDefault="00BA01B1" w:rsidP="00BA01B1">
      <w:pPr>
        <w:ind w:left="360"/>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rsidR="00F04FB0" w:rsidRPr="00C734E9" w:rsidRDefault="00F04FB0" w:rsidP="00F04FB0">
      <w:pPr>
        <w:rPr>
          <w:rFonts w:ascii="Arial" w:hAnsi="Arial" w:cs="Arial"/>
        </w:rPr>
      </w:pPr>
    </w:p>
    <w:p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determine, for the purpose of transacting such business as may lawfully come before the meeting. If the day fixed for the annual meeting shall be a legal holiday, such meeting shall be held on the next succeeding business day.</w:t>
      </w:r>
    </w:p>
    <w:p w:rsidR="00F04FB0" w:rsidRPr="00C734E9" w:rsidRDefault="00F04FB0" w:rsidP="00F04FB0">
      <w:pPr>
        <w:ind w:left="36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Member(s) of the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w:t>
      </w:r>
    </w:p>
    <w:p w:rsidR="00F04FB0" w:rsidRPr="00C734E9" w:rsidRDefault="00F04FB0" w:rsidP="00F04FB0">
      <w:pPr>
        <w:ind w:left="360"/>
        <w:rPr>
          <w:rFonts w:ascii="Arial" w:hAnsi="Arial" w:cs="Arial"/>
        </w:rPr>
      </w:pPr>
    </w:p>
    <w:p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rsidR="00F04FB0" w:rsidRPr="00C734E9" w:rsidRDefault="00F04FB0" w:rsidP="00F04FB0">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Anything herein contained to the contrary, the Company shall be entitled to treat the record holder of the interest of a Member as the absolute owner thereof and shall incur no liability by reason of distributions made in good faith to such record holder, unless and until there has been delivered to the Company the assignment or other instrument of transfer and such other evidence as may be reasonably required by the Company to establish to the satisfaction of the Company that interest has been assigned or transferred in accordance with this Agreement.</w:t>
      </w:r>
    </w:p>
    <w:p w:rsidR="00F04FB0" w:rsidRPr="00C734E9" w:rsidRDefault="00F04FB0" w:rsidP="00F04FB0">
      <w:pPr>
        <w:pStyle w:val="ListParagraph"/>
        <w:rPr>
          <w:rFonts w:ascii="Arial" w:hAnsi="Arial" w:cs="Arial"/>
        </w:rPr>
      </w:pPr>
    </w:p>
    <w:p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rsidR="006E3CC6" w:rsidRPr="00C734E9" w:rsidRDefault="006E3CC6" w:rsidP="006E3CC6">
      <w:pPr>
        <w:autoSpaceDE w:val="0"/>
        <w:ind w:left="360"/>
        <w:rPr>
          <w:rFonts w:ascii="Arial" w:hAnsi="Arial" w:cs="Arial"/>
        </w:rPr>
      </w:pPr>
    </w:p>
    <w:p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rsidR="00F04FB0" w:rsidRPr="00C734E9" w:rsidRDefault="00F04FB0" w:rsidP="00BA01B1">
      <w:pPr>
        <w:rPr>
          <w:rFonts w:ascii="Arial" w:hAnsi="Arial" w:cs="Arial"/>
        </w:rPr>
      </w:pPr>
    </w:p>
    <w:p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rsidR="006E3CC6" w:rsidRPr="00C734E9" w:rsidRDefault="006E3CC6" w:rsidP="006E3CC6">
      <w:pPr>
        <w:pStyle w:val="ListParagraph"/>
        <w:rPr>
          <w:rFonts w:ascii="Arial" w:hAnsi="Arial" w:cs="Arial"/>
          <w:b/>
          <w:bCs/>
        </w:rPr>
      </w:pPr>
    </w:p>
    <w:p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rsidR="006E3CC6" w:rsidRPr="00C734E9" w:rsidRDefault="006E3CC6"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rsidR="00F04FB0" w:rsidRPr="00C734E9" w:rsidRDefault="00F04FB0" w:rsidP="00F04FB0">
      <w:pPr>
        <w:pStyle w:val="ListParagraph"/>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interest to any other person or entity at a purchase price which is not less than the purchase price prescribed in the offer and upon the terms and conditions which are substantially the same as the terms and conditions set forth in the offer, provided all 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F04FB0">
      <w:pPr>
        <w:pStyle w:val="ListParagraph"/>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E043CC">
      <w:pPr>
        <w:rPr>
          <w:rFonts w:ascii="Arial" w:hAnsi="Arial" w:cs="Arial"/>
        </w:rPr>
      </w:pPr>
    </w:p>
    <w:p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rsidR="00F04FB0" w:rsidRPr="00C734E9" w:rsidRDefault="00F04FB0" w:rsidP="00BA01B1">
      <w:pPr>
        <w:rPr>
          <w:rFonts w:ascii="Arial" w:hAnsi="Arial" w:cs="Arial"/>
        </w:rPr>
      </w:pPr>
    </w:p>
    <w:p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6E3CC6">
      <w:pPr>
        <w:pStyle w:val="ListParagraph"/>
        <w:rPr>
          <w:rFonts w:ascii="Arial" w:hAnsi="Arial" w:cs="Arial"/>
        </w:rPr>
      </w:pPr>
    </w:p>
    <w:p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and such order, judgment or decree shall continue unstayed and in effect for thirty (30) days.</w:t>
      </w:r>
    </w:p>
    <w:p w:rsidR="00BA01B1" w:rsidRPr="00C734E9" w:rsidRDefault="00BA01B1" w:rsidP="00BA01B1">
      <w:pPr>
        <w:rPr>
          <w:rFonts w:ascii="Arial" w:hAnsi="Arial" w:cs="Arial"/>
          <w:b/>
          <w:bCs/>
          <w:u w:val="single"/>
        </w:rPr>
      </w:pPr>
    </w:p>
    <w:p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rsidR="00BA01B1" w:rsidRPr="00C734E9" w:rsidRDefault="00BA01B1" w:rsidP="00BA01B1">
      <w:pPr>
        <w:ind w:left="360"/>
        <w:rPr>
          <w:rFonts w:ascii="Arial" w:hAnsi="Arial" w:cs="Arial"/>
        </w:rPr>
      </w:pPr>
    </w:p>
    <w:p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r w:rsidRPr="00C734E9">
        <w:rPr>
          <w:rFonts w:ascii="Arial" w:hAnsi="Arial" w:cs="Arial"/>
        </w:rPr>
        <w:t>Every membership interest in the Company shall be evidenced by a Certificate of Membership issued by the Company. Each Certificate of Membership shall set forth the name of the Member(s) holding the membership interest and the Members’ Percentage Interest held by the Member(s), and shall bear the following legend:</w:t>
      </w:r>
    </w:p>
    <w:p w:rsidR="006E3CC6" w:rsidRPr="00C734E9" w:rsidRDefault="006E3CC6" w:rsidP="006E3CC6">
      <w:pPr>
        <w:pStyle w:val="ListParagraph"/>
        <w:rPr>
          <w:rFonts w:ascii="Arial" w:hAnsi="Arial" w:cs="Arial"/>
        </w:rPr>
      </w:pPr>
    </w:p>
    <w:p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404E6D" w:rsidRPr="00C734E9">
        <w:rPr>
          <w:rFonts w:ascii="Arial" w:hAnsi="Arial" w:cs="Arial"/>
          <w:bCs/>
        </w:rPr>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404E6D" w:rsidRPr="00C734E9">
        <w:rPr>
          <w:rFonts w:ascii="Arial" w:hAnsi="Arial" w:cs="Arial"/>
          <w:bCs/>
        </w:rPr>
      </w:r>
      <w:r w:rsidR="00404E6D" w:rsidRPr="00C734E9">
        <w:rPr>
          <w:rFonts w:ascii="Arial" w:hAnsi="Arial" w:cs="Arial"/>
          <w:bCs/>
        </w:rPr>
        <w:fldChar w:fldCharType="separate"/>
      </w:r>
      <w:r w:rsidR="00FC5266" w:rsidRPr="00C734E9">
        <w:rPr>
          <w:rFonts w:ascii="Arial" w:hAnsi="Arial" w:cs="Arial"/>
          <w:bCs/>
          <w:noProof/>
        </w:rPr>
        <w:t>[NAME OF COMPANY]</w:t>
      </w:r>
      <w:r w:rsidR="00404E6D" w:rsidRPr="00C734E9">
        <w:rPr>
          <w:rFonts w:ascii="Arial" w:hAnsi="Arial" w:cs="Arial"/>
          <w:bCs/>
        </w:rPr>
        <w:fldChar w:fldCharType="end"/>
      </w:r>
      <w:r w:rsidR="00FC5266" w:rsidRPr="00C734E9">
        <w:rPr>
          <w:rFonts w:ascii="Arial" w:hAnsi="Arial" w:cs="Arial"/>
          <w:bCs/>
        </w:rPr>
        <w:t>,</w:t>
      </w:r>
      <w:r w:rsidRPr="00C734E9">
        <w:rPr>
          <w:rFonts w:ascii="Arial" w:hAnsi="Arial" w:cs="Arial"/>
        </w:rPr>
        <w:t xml:space="preserve">LLC, dated effective as of </w:t>
      </w:r>
      <w:r w:rsidR="00404E6D"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404E6D" w:rsidRPr="00C734E9">
        <w:rPr>
          <w:rFonts w:ascii="Arial" w:hAnsi="Arial" w:cs="Arial"/>
        </w:rPr>
      </w:r>
      <w:r w:rsidR="00404E6D" w:rsidRPr="00C734E9">
        <w:rPr>
          <w:rFonts w:ascii="Arial" w:hAnsi="Arial" w:cs="Arial"/>
        </w:rPr>
        <w:fldChar w:fldCharType="separate"/>
      </w:r>
      <w:r w:rsidR="00FC5266" w:rsidRPr="00C734E9">
        <w:rPr>
          <w:rFonts w:ascii="Arial" w:hAnsi="Arial" w:cs="Arial"/>
          <w:noProof/>
        </w:rPr>
        <w:t>[FORMATION DATE]</w:t>
      </w:r>
      <w:r w:rsidR="00404E6D"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as the same from time to time may be amended, a copy of which is on file at the principal office of the Company.”</w:t>
      </w:r>
    </w:p>
    <w:p w:rsidR="00BA01B1" w:rsidRPr="00C734E9" w:rsidRDefault="00421D1A" w:rsidP="00BA01B1">
      <w:pPr>
        <w:rPr>
          <w:rFonts w:ascii="Arial" w:hAnsi="Arial" w:cs="Arial"/>
        </w:rPr>
      </w:pPr>
      <w:r w:rsidRPr="00C734E9">
        <w:rPr>
          <w:rFonts w:ascii="Arial" w:hAnsi="Arial" w:cs="Arial"/>
        </w:rPr>
        <w:tab/>
      </w: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rsidR="00BA01B1" w:rsidRPr="00C734E9" w:rsidRDefault="00BA01B1" w:rsidP="00BA01B1">
      <w:pPr>
        <w:rPr>
          <w:rFonts w:ascii="Arial" w:hAnsi="Arial" w:cs="Arial"/>
        </w:rPr>
      </w:pP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rsidR="00BA01B1" w:rsidRPr="00C734E9" w:rsidRDefault="00BA01B1" w:rsidP="00BA01B1">
      <w:pPr>
        <w:rPr>
          <w:rFonts w:ascii="Arial" w:hAnsi="Arial" w:cs="Arial"/>
        </w:rPr>
      </w:pP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rsidR="00BA01B1" w:rsidRPr="00C734E9" w:rsidRDefault="00BA01B1" w:rsidP="00BA01B1">
      <w:pPr>
        <w:ind w:left="360"/>
        <w:rPr>
          <w:rFonts w:ascii="Arial" w:hAnsi="Arial" w:cs="Arial"/>
        </w:rPr>
      </w:pPr>
    </w:p>
    <w:p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The Member(s) (including, for purposes of this Section, any estate, heir, personal representative, receiver, trustee, successor, assignee and/or transferee of the Member(s)) shall not be liable, responsible or accountable, in damages or otherwise, to the Company or any other person for: (i) any act performed, or the omission to perform any act, within the scope of the power and authority conferred on the Member(s)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Member(s).</w:t>
      </w:r>
    </w:p>
    <w:p w:rsidR="006E3CC6" w:rsidRPr="00C734E9" w:rsidRDefault="006E3CC6" w:rsidP="006E3CC6">
      <w:pPr>
        <w:pStyle w:val="ListParagraph"/>
        <w:rPr>
          <w:rFonts w:ascii="Arial" w:hAnsi="Arial" w:cs="Arial"/>
          <w:b/>
          <w:bCs/>
        </w:rPr>
      </w:pPr>
    </w:p>
    <w:p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unliquidated,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indemnifiable under the standards set forth herein. </w:t>
      </w:r>
    </w:p>
    <w:p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(i)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rsidR="00BA01B1" w:rsidRPr="00C734E9" w:rsidRDefault="00BA01B1" w:rsidP="00BA01B1">
      <w:pPr>
        <w:pStyle w:val="ListParagraph"/>
        <w:ind w:left="360"/>
        <w:rPr>
          <w:rFonts w:ascii="Arial" w:hAnsi="Arial" w:cs="Arial"/>
          <w:u w:val="single"/>
        </w:rPr>
      </w:pPr>
    </w:p>
    <w:p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rsidR="00BA01B1" w:rsidRPr="00C734E9" w:rsidRDefault="00BA01B1" w:rsidP="00406B40">
      <w:pPr>
        <w:pStyle w:val="ListParagraph"/>
        <w:ind w:left="0"/>
        <w:rPr>
          <w:rFonts w:ascii="Arial" w:hAnsi="Arial" w:cs="Arial"/>
        </w:rPr>
      </w:pPr>
    </w:p>
    <w:p w:rsidR="00C867FD" w:rsidRPr="00C734E9" w:rsidRDefault="00421D1A" w:rsidP="00406B40">
      <w:pPr>
        <w:pStyle w:val="ListParagraph"/>
        <w:ind w:left="0"/>
        <w:rPr>
          <w:rFonts w:ascii="Arial" w:hAnsi="Arial" w:cs="Arial"/>
        </w:rPr>
      </w:pPr>
      <w:r w:rsidRPr="00C734E9">
        <w:rPr>
          <w:rFonts w:ascii="Arial" w:hAnsi="Arial" w:cs="Arial"/>
        </w:rPr>
        <w:t>The captions in this Agreement are for convenience only and are not to be considered in construing this Agreement. All pronouns shall be deemed to be masculine, feminine, neuter, singular, or plural as the identity of the person or persons may require. References to a person or persons shall include partnerships, corporations, limited liability companies, unincorporated associations, trusts, estates, and other types of entities.</w:t>
      </w:r>
    </w:p>
    <w:p w:rsidR="00C867FD" w:rsidRPr="00C734E9" w:rsidRDefault="00C867FD">
      <w:pPr>
        <w:rPr>
          <w:rFonts w:ascii="Arial" w:hAnsi="Arial" w:cs="Arial"/>
        </w:rPr>
      </w:pPr>
    </w:p>
    <w:p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rsidR="00BA01B1" w:rsidRPr="00C734E9" w:rsidRDefault="00BA01B1" w:rsidP="00BA01B1">
      <w:pPr>
        <w:pStyle w:val="ListParagraph"/>
        <w:ind w:left="36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This Agreement and any amendments hereto may be executed in counterparts, all of which taken together shall constitute one agreement.</w:t>
      </w:r>
    </w:p>
    <w:p w:rsidR="00BA01B1" w:rsidRPr="00C734E9" w:rsidRDefault="00BA01B1" w:rsidP="00406B40">
      <w:pPr>
        <w:pStyle w:val="ListParagraph"/>
        <w:ind w:left="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rsidR="00BA01B1" w:rsidRPr="00C734E9" w:rsidRDefault="00BA01B1" w:rsidP="00406B40">
      <w:pPr>
        <w:pStyle w:val="ListParagraph"/>
        <w:ind w:left="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rsidR="00406B40" w:rsidRPr="00C734E9" w:rsidRDefault="00406B40">
      <w:pPr>
        <w:rPr>
          <w:rFonts w:ascii="Arial" w:hAnsi="Arial" w:cs="Arial"/>
        </w:rPr>
      </w:pPr>
    </w:p>
    <w:p w:rsidR="00C867FD" w:rsidRPr="00C734E9" w:rsidRDefault="00421D1A">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rsidR="00C734E9" w:rsidRPr="00C734E9" w:rsidRDefault="00C734E9" w:rsidP="00C734E9">
      <w:pPr>
        <w:rPr>
          <w:rFonts w:ascii="Arial" w:hAnsi="Arial" w:cs="Arial"/>
        </w:rPr>
      </w:pP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7"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406B40" w:rsidRDefault="00406B40"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Default="00C734E9"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Default="00C734E9"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Pr="00C734E9" w:rsidRDefault="00C734E9" w:rsidP="00406B40">
      <w:pPr>
        <w:tabs>
          <w:tab w:val="left" w:pos="960"/>
        </w:tabs>
        <w:rPr>
          <w:rFonts w:ascii="Arial" w:hAnsi="Arial" w:cs="Arial"/>
        </w:rPr>
      </w:pPr>
    </w:p>
    <w:sectPr w:rsidR="00C734E9" w:rsidRPr="00C734E9" w:rsidSect="00365C30">
      <w:footerReference w:type="default" r:id="rId11"/>
      <w:pgSz w:w="12240" w:h="15840"/>
      <w:pgMar w:top="792" w:right="1080" w:bottom="709"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05" w:rsidRDefault="007E4805">
      <w:r>
        <w:separator/>
      </w:r>
    </w:p>
  </w:endnote>
  <w:endnote w:type="continuationSeparator" w:id="1">
    <w:p w:rsidR="007E4805" w:rsidRDefault="007E48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22" w:rsidRPr="00B65C50" w:rsidRDefault="002B2C22" w:rsidP="00365C30">
    <w:pPr>
      <w:pStyle w:val="Footer"/>
      <w:tabs>
        <w:tab w:val="left" w:pos="6180"/>
      </w:tabs>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05" w:rsidRDefault="007E4805">
      <w:r>
        <w:separator/>
      </w:r>
    </w:p>
  </w:footnote>
  <w:footnote w:type="continuationSeparator" w:id="1">
    <w:p w:rsidR="007E4805" w:rsidRDefault="007E4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2"/>
  </w:num>
  <w:num w:numId="6">
    <w:abstractNumId w:val="3"/>
  </w:num>
  <w:num w:numId="7">
    <w:abstractNumId w:val="10"/>
  </w:num>
  <w:num w:numId="8">
    <w:abstractNumId w:val="9"/>
  </w:num>
  <w:num w:numId="9">
    <w:abstractNumId w:val="0"/>
  </w:num>
  <w:num w:numId="10">
    <w:abstractNumId w:val="1"/>
  </w:num>
  <w:num w:numId="11">
    <w:abstractNumId w:val="13"/>
  </w:num>
  <w:num w:numId="12">
    <w:abstractNumId w:val="8"/>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defaultTabStop w:val="720"/>
  <w:autoHyphenation/>
  <w:characterSpacingControl w:val="doNotCompress"/>
  <w:savePreviewPicture/>
  <w:footnotePr>
    <w:footnote w:id="0"/>
    <w:footnote w:id="1"/>
  </w:footnotePr>
  <w:endnotePr>
    <w:endnote w:id="0"/>
    <w:endnote w:id="1"/>
  </w:endnotePr>
  <w:compat/>
  <w:rsids>
    <w:rsidRoot w:val="00C867FD"/>
    <w:rsid w:val="00162B98"/>
    <w:rsid w:val="001940A6"/>
    <w:rsid w:val="001C7F53"/>
    <w:rsid w:val="002B03CD"/>
    <w:rsid w:val="002B2C22"/>
    <w:rsid w:val="00365C30"/>
    <w:rsid w:val="00404E6D"/>
    <w:rsid w:val="00406B40"/>
    <w:rsid w:val="00421D1A"/>
    <w:rsid w:val="004506A1"/>
    <w:rsid w:val="00526C50"/>
    <w:rsid w:val="00664A06"/>
    <w:rsid w:val="00674FCE"/>
    <w:rsid w:val="006E3CC6"/>
    <w:rsid w:val="00764D90"/>
    <w:rsid w:val="007B1143"/>
    <w:rsid w:val="007C3951"/>
    <w:rsid w:val="007E4805"/>
    <w:rsid w:val="008112FB"/>
    <w:rsid w:val="00835255"/>
    <w:rsid w:val="008B6989"/>
    <w:rsid w:val="00A42EE6"/>
    <w:rsid w:val="00A445F1"/>
    <w:rsid w:val="00A70BA3"/>
    <w:rsid w:val="00AD304C"/>
    <w:rsid w:val="00B01614"/>
    <w:rsid w:val="00B329EB"/>
    <w:rsid w:val="00B65C50"/>
    <w:rsid w:val="00BA01B1"/>
    <w:rsid w:val="00C13799"/>
    <w:rsid w:val="00C27224"/>
    <w:rsid w:val="00C404C6"/>
    <w:rsid w:val="00C734E9"/>
    <w:rsid w:val="00C867FD"/>
    <w:rsid w:val="00E043CC"/>
    <w:rsid w:val="00F04FB0"/>
    <w:rsid w:val="00F22C13"/>
    <w:rsid w:val="00FC5266"/>
    <w:rsid w:val="00FF7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6D"/>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404E6D"/>
    <w:pPr>
      <w:tabs>
        <w:tab w:val="center" w:pos="4320"/>
        <w:tab w:val="right" w:pos="8640"/>
      </w:tabs>
    </w:pPr>
  </w:style>
  <w:style w:type="character" w:styleId="PageNumber">
    <w:name w:val="page number"/>
    <w:basedOn w:val="DefaultParagraphFont"/>
    <w:uiPriority w:val="99"/>
    <w:rsid w:val="00404E6D"/>
  </w:style>
  <w:style w:type="paragraph" w:styleId="ListParagraph">
    <w:name w:val="List Paragraph"/>
    <w:basedOn w:val="Normal"/>
    <w:rsid w:val="00404E6D"/>
    <w:pPr>
      <w:ind w:left="720"/>
    </w:pPr>
  </w:style>
  <w:style w:type="paragraph" w:styleId="Header">
    <w:name w:val="header"/>
    <w:basedOn w:val="Normal"/>
    <w:rsid w:val="00404E6D"/>
    <w:pPr>
      <w:tabs>
        <w:tab w:val="center" w:pos="4680"/>
        <w:tab w:val="right" w:pos="9360"/>
      </w:tabs>
    </w:pPr>
  </w:style>
  <w:style w:type="character" w:customStyle="1" w:styleId="HeaderChar">
    <w:name w:val="Header Char"/>
    <w:basedOn w:val="DefaultParagraphFont"/>
    <w:rsid w:val="00404E6D"/>
    <w:rPr>
      <w:sz w:val="24"/>
      <w:szCs w:val="24"/>
    </w:rPr>
  </w:style>
  <w:style w:type="character" w:styleId="Hyperlink">
    <w:name w:val="Hyperlink"/>
    <w:basedOn w:val="DefaultParagraphFont"/>
    <w:rsid w:val="00404E6D"/>
    <w:rPr>
      <w:color w:val="0563C1"/>
      <w:u w:val="single"/>
    </w:rPr>
  </w:style>
  <w:style w:type="character" w:customStyle="1" w:styleId="FooterChar">
    <w:name w:val="Footer Char"/>
    <w:basedOn w:val="DefaultParagraphFont"/>
    <w:uiPriority w:val="99"/>
    <w:rsid w:val="00404E6D"/>
    <w:rPr>
      <w:sz w:val="24"/>
      <w:szCs w:val="24"/>
    </w:rPr>
  </w:style>
  <w:style w:type="character" w:customStyle="1" w:styleId="UnresolvedMention1">
    <w:name w:val="Unresolved Mention1"/>
    <w:basedOn w:val="DefaultParagraphFont"/>
    <w:rsid w:val="00404E6D"/>
    <w:rPr>
      <w:color w:val="605E5C"/>
      <w:shd w:val="clear" w:color="auto" w:fill="E1DFDD"/>
    </w:rPr>
  </w:style>
  <w:style w:type="character" w:styleId="FollowedHyperlink">
    <w:name w:val="FollowedHyperlink"/>
    <w:basedOn w:val="DefaultParagraphFont"/>
    <w:uiPriority w:val="99"/>
    <w:semiHidden/>
    <w:unhideWhenUsed/>
    <w:rsid w:val="00C734E9"/>
    <w:rPr>
      <w:color w:val="3B435B"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365C30"/>
    <w:rPr>
      <w:rFonts w:ascii="Tahoma" w:hAnsi="Tahoma" w:cs="Tahoma"/>
      <w:sz w:val="16"/>
      <w:szCs w:val="16"/>
    </w:rPr>
  </w:style>
  <w:style w:type="character" w:customStyle="1" w:styleId="BalloonTextChar">
    <w:name w:val="Balloon Text Char"/>
    <w:basedOn w:val="DefaultParagraphFont"/>
    <w:link w:val="BalloonText"/>
    <w:uiPriority w:val="99"/>
    <w:semiHidden/>
    <w:rsid w:val="00365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520Work\WIKI\LLC%2520-%2520Operating%2520Agreement.dot"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LLC%20-%20Operating%20Agreement.dot</Template>
  <TotalTime>88</TotalTime>
  <Pages>15</Pages>
  <Words>6930</Words>
  <Characters>39505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LLC Operating Agreement</vt:lpstr>
    </vt:vector>
  </TitlesOfParts>
  <Manager/>
  <Company/>
  <LinksUpToDate>false</LinksUpToDate>
  <CharactersWithSpaces>46343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LLC Operating Agreement</dc:title>
  <dc:subject/>
  <dc:creator>eForms</dc:creator>
  <cp:keywords/>
  <dc:description/>
  <cp:lastModifiedBy>user</cp:lastModifiedBy>
  <cp:revision>11</cp:revision>
  <cp:lastPrinted>2016-03-06T14:59:00Z</cp:lastPrinted>
  <dcterms:created xsi:type="dcterms:W3CDTF">2020-12-30T21:34:00Z</dcterms:created>
  <dcterms:modified xsi:type="dcterms:W3CDTF">2025-07-24T06:44:00Z</dcterms:modified>
  <cp:category/>
</cp:coreProperties>
</file>